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F2" w:rsidRPr="00ED193D" w:rsidRDefault="00C340F2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40F2" w:rsidRPr="00ED193D" w:rsidRDefault="005240FA">
      <w:pPr>
        <w:pStyle w:val="Body"/>
        <w:spacing w:before="247"/>
        <w:ind w:left="10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D193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D193D">
        <w:rPr>
          <w:rFonts w:ascii="Times New Roman" w:hAnsi="Times New Roman" w:cs="Times New Roman"/>
          <w:b/>
          <w:bCs/>
          <w:sz w:val="24"/>
          <w:szCs w:val="24"/>
          <w:lang w:val="en-US"/>
        </w:rPr>
        <w:t>ora Osmani</w:t>
      </w:r>
    </w:p>
    <w:p w:rsidR="00C340F2" w:rsidRPr="00ED193D" w:rsidRDefault="005240FA">
      <w:pPr>
        <w:pStyle w:val="BodyText"/>
        <w:tabs>
          <w:tab w:val="left" w:pos="1539"/>
        </w:tabs>
        <w:spacing w:before="271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ED1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93D">
        <w:rPr>
          <w:rFonts w:ascii="Times New Roman" w:hAnsi="Times New Roman" w:cs="Times New Roman"/>
          <w:bCs/>
          <w:sz w:val="24"/>
          <w:szCs w:val="24"/>
        </w:rPr>
        <w:t>Prishtine</w:t>
      </w:r>
      <w:r w:rsidR="00ED193D" w:rsidRPr="00ED193D">
        <w:rPr>
          <w:rFonts w:ascii="Times New Roman" w:hAnsi="Times New Roman" w:cs="Times New Roman"/>
          <w:bCs/>
          <w:sz w:val="24"/>
          <w:szCs w:val="24"/>
        </w:rPr>
        <w:t>, Kosovo</w:t>
      </w:r>
    </w:p>
    <w:p w:rsidR="00C340F2" w:rsidRPr="00ED193D" w:rsidRDefault="005240FA">
      <w:pPr>
        <w:pStyle w:val="Body"/>
        <w:tabs>
          <w:tab w:val="left" w:pos="1539"/>
        </w:tabs>
        <w:spacing w:before="225"/>
        <w:ind w:left="100"/>
        <w:rPr>
          <w:rFonts w:ascii="Times New Roman" w:eastAsia="Trebuchet MS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b/>
          <w:bCs/>
          <w:sz w:val="24"/>
          <w:szCs w:val="24"/>
          <w:lang w:val="it-IT"/>
        </w:rPr>
        <w:t>Telephone:</w:t>
      </w:r>
      <w:r w:rsidRPr="00ED193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ED193D">
        <w:rPr>
          <w:rFonts w:ascii="Times New Roman" w:hAnsi="Times New Roman" w:cs="Times New Roman"/>
          <w:sz w:val="24"/>
          <w:szCs w:val="24"/>
        </w:rPr>
        <w:t xml:space="preserve">+383 </w:t>
      </w:r>
      <w:r w:rsidRPr="00ED193D">
        <w:rPr>
          <w:rFonts w:ascii="Times New Roman" w:hAnsi="Times New Roman" w:cs="Times New Roman"/>
          <w:sz w:val="24"/>
          <w:szCs w:val="24"/>
          <w:lang w:val="en-US"/>
        </w:rPr>
        <w:t>49 387 570</w:t>
      </w:r>
    </w:p>
    <w:p w:rsidR="00C340F2" w:rsidRPr="00ED193D" w:rsidRDefault="005240FA">
      <w:pPr>
        <w:pStyle w:val="Body"/>
        <w:tabs>
          <w:tab w:val="left" w:pos="1539"/>
        </w:tabs>
        <w:spacing w:before="224"/>
        <w:ind w:left="10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193D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6" w:history="1">
        <w:r w:rsidR="00ED193D" w:rsidRPr="00ED193D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nora.osmani@universitetiaab.com</w:t>
        </w:r>
      </w:hyperlink>
    </w:p>
    <w:p w:rsidR="00ED193D" w:rsidRPr="00ED193D" w:rsidRDefault="00ED193D">
      <w:pPr>
        <w:pStyle w:val="Body"/>
        <w:tabs>
          <w:tab w:val="left" w:pos="1539"/>
        </w:tabs>
        <w:spacing w:before="224"/>
        <w:ind w:left="100"/>
        <w:rPr>
          <w:rFonts w:ascii="Times New Roman" w:eastAsia="Trebuchet MS" w:hAnsi="Times New Roman" w:cs="Times New Roman"/>
          <w:sz w:val="24"/>
          <w:szCs w:val="24"/>
        </w:rPr>
      </w:pPr>
    </w:p>
    <w:p w:rsidR="00C340F2" w:rsidRPr="00ED193D" w:rsidRDefault="00C340F2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40F2" w:rsidRPr="00ED193D" w:rsidRDefault="005240FA">
      <w:pPr>
        <w:pStyle w:val="BodyText"/>
        <w:spacing w:before="1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918800</wp:posOffset>
                </wp:positionH>
                <wp:positionV relativeFrom="line">
                  <wp:posOffset>135299</wp:posOffset>
                </wp:positionV>
                <wp:extent cx="5709920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3pt;margin-top:10.7pt;width:449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C340F2" w:rsidRPr="00ED193D" w:rsidRDefault="00C340F2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40F2" w:rsidRPr="00ED193D" w:rsidRDefault="005240FA">
      <w:pPr>
        <w:pStyle w:val="Heading"/>
        <w:spacing w:before="101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>EDUCATION</w:t>
      </w:r>
    </w:p>
    <w:p w:rsidR="00C340F2" w:rsidRPr="00ED193D" w:rsidRDefault="005240FA">
      <w:pPr>
        <w:pStyle w:val="BodyText"/>
        <w:tabs>
          <w:tab w:val="left" w:pos="1539"/>
        </w:tabs>
        <w:spacing w:before="224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>Ph.D.- University Ss. Cyril and Methodius, Faculty of Law, Skopje, North Macedonia</w:t>
      </w:r>
    </w:p>
    <w:p w:rsidR="00C340F2" w:rsidRPr="00ED193D" w:rsidRDefault="005240FA">
      <w:pPr>
        <w:pStyle w:val="BodyText"/>
        <w:tabs>
          <w:tab w:val="left" w:pos="1539"/>
        </w:tabs>
        <w:spacing w:before="224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 xml:space="preserve">MSc- University of Prishtina “Hasan Prishtina”, Faculty of </w:t>
      </w:r>
      <w:r w:rsidRPr="00ED193D">
        <w:rPr>
          <w:rFonts w:ascii="Times New Roman" w:hAnsi="Times New Roman" w:cs="Times New Roman"/>
          <w:sz w:val="24"/>
          <w:szCs w:val="24"/>
        </w:rPr>
        <w:t>Law, Prishtina, Republic of Kosova</w:t>
      </w:r>
    </w:p>
    <w:p w:rsidR="00C340F2" w:rsidRPr="00ED193D" w:rsidRDefault="005240FA">
      <w:pPr>
        <w:pStyle w:val="BodyText"/>
        <w:tabs>
          <w:tab w:val="left" w:pos="1539"/>
        </w:tabs>
        <w:spacing w:before="224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>BSc- University of Tetova, Faculty of Law</w:t>
      </w:r>
      <w:r w:rsidR="00ED193D">
        <w:rPr>
          <w:rFonts w:ascii="Times New Roman" w:hAnsi="Times New Roman" w:cs="Times New Roman"/>
          <w:sz w:val="24"/>
          <w:szCs w:val="24"/>
        </w:rPr>
        <w:t>, Tetovo, North Macedonia</w:t>
      </w:r>
    </w:p>
    <w:p w:rsidR="00C340F2" w:rsidRPr="00ED193D" w:rsidRDefault="005240FA">
      <w:pPr>
        <w:pStyle w:val="BodyText"/>
        <w:tabs>
          <w:tab w:val="left" w:pos="1539"/>
        </w:tabs>
        <w:spacing w:line="225" w:lineRule="auto"/>
        <w:ind w:left="1539" w:right="3195" w:hanging="1440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ab/>
      </w:r>
    </w:p>
    <w:p w:rsidR="00C340F2" w:rsidRPr="00ED193D" w:rsidRDefault="00C340F2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40F2" w:rsidRPr="00ED193D" w:rsidRDefault="005240FA">
      <w:pPr>
        <w:pStyle w:val="Heading"/>
        <w:spacing w:before="163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  <w:lang w:val="de-DE"/>
        </w:rPr>
        <w:t>EMPLOYMENT/TEACHING</w:t>
      </w:r>
    </w:p>
    <w:p w:rsidR="00C340F2" w:rsidRPr="00ED193D" w:rsidRDefault="005240FA">
      <w:pPr>
        <w:pStyle w:val="BodyText"/>
        <w:tabs>
          <w:tab w:val="left" w:pos="2260"/>
        </w:tabs>
        <w:spacing w:before="225"/>
        <w:rPr>
          <w:rFonts w:ascii="Times New Roman" w:hAnsi="Times New Roman" w:cs="Times New Roman"/>
          <w:b/>
          <w:sz w:val="24"/>
          <w:szCs w:val="24"/>
        </w:rPr>
      </w:pPr>
      <w:r w:rsidRPr="00ED193D">
        <w:rPr>
          <w:rFonts w:ascii="Times New Roman" w:hAnsi="Times New Roman" w:cs="Times New Roman"/>
          <w:b/>
          <w:sz w:val="24"/>
          <w:szCs w:val="24"/>
        </w:rPr>
        <w:t>Professor</w:t>
      </w:r>
      <w:r w:rsidRPr="00ED1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93D">
        <w:rPr>
          <w:rFonts w:ascii="Times New Roman" w:hAnsi="Times New Roman" w:cs="Times New Roman"/>
          <w:b/>
          <w:sz w:val="24"/>
          <w:szCs w:val="24"/>
        </w:rPr>
        <w:t>of</w:t>
      </w:r>
      <w:r w:rsidRPr="00ED1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93D">
        <w:rPr>
          <w:rFonts w:ascii="Times New Roman" w:hAnsi="Times New Roman" w:cs="Times New Roman"/>
          <w:b/>
          <w:sz w:val="24"/>
          <w:szCs w:val="24"/>
        </w:rPr>
        <w:t>law:</w:t>
      </w:r>
      <w:r w:rsidRPr="00ED193D">
        <w:rPr>
          <w:rFonts w:ascii="Times New Roman" w:hAnsi="Times New Roman" w:cs="Times New Roman"/>
          <w:b/>
          <w:sz w:val="24"/>
          <w:szCs w:val="24"/>
        </w:rPr>
        <w:tab/>
      </w:r>
    </w:p>
    <w:p w:rsidR="00C340F2" w:rsidRPr="00ED193D" w:rsidRDefault="005240FA">
      <w:pPr>
        <w:pStyle w:val="BodyText"/>
        <w:tabs>
          <w:tab w:val="left" w:pos="2259"/>
        </w:tabs>
        <w:spacing w:before="224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>Lecturer: AAB College, 03.2021- ongoing</w:t>
      </w:r>
    </w:p>
    <w:p w:rsidR="00C340F2" w:rsidRPr="00ED193D" w:rsidRDefault="005240FA">
      <w:pPr>
        <w:pStyle w:val="BodyText"/>
        <w:tabs>
          <w:tab w:val="left" w:pos="2259"/>
        </w:tabs>
        <w:spacing w:before="224"/>
        <w:rPr>
          <w:rFonts w:ascii="Times New Roman" w:hAnsi="Times New Roman" w:cs="Times New Roman"/>
          <w:b/>
          <w:sz w:val="24"/>
          <w:szCs w:val="24"/>
        </w:rPr>
      </w:pPr>
      <w:r w:rsidRPr="00ED193D">
        <w:rPr>
          <w:rFonts w:ascii="Times New Roman" w:hAnsi="Times New Roman" w:cs="Times New Roman"/>
          <w:b/>
          <w:sz w:val="24"/>
          <w:szCs w:val="24"/>
        </w:rPr>
        <w:t>Researcher:</w:t>
      </w:r>
    </w:p>
    <w:p w:rsidR="00C340F2" w:rsidRPr="00ED193D" w:rsidRDefault="005240FA">
      <w:pPr>
        <w:pStyle w:val="BodyText"/>
        <w:tabs>
          <w:tab w:val="left" w:pos="2259"/>
        </w:tabs>
        <w:spacing w:before="224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 xml:space="preserve"> 1.Masaryk University, Institute of Law and Technology, Brno, Czech Republic 2018-2020</w:t>
      </w:r>
    </w:p>
    <w:p w:rsidR="00C340F2" w:rsidRPr="00ED193D" w:rsidRDefault="005240FA">
      <w:pPr>
        <w:pStyle w:val="BodyText"/>
        <w:tabs>
          <w:tab w:val="left" w:pos="2259"/>
        </w:tabs>
        <w:spacing w:before="224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 xml:space="preserve"> 2.Georgetown University, Washington DC, </w:t>
      </w:r>
      <w:r w:rsidR="00ED193D">
        <w:rPr>
          <w:rFonts w:ascii="Times New Roman" w:hAnsi="Times New Roman" w:cs="Times New Roman"/>
          <w:sz w:val="24"/>
          <w:szCs w:val="24"/>
        </w:rPr>
        <w:t>USA 09.2018-06.2019 (Fulbright S</w:t>
      </w:r>
      <w:r w:rsidRPr="00ED193D">
        <w:rPr>
          <w:rFonts w:ascii="Times New Roman" w:hAnsi="Times New Roman" w:cs="Times New Roman"/>
          <w:sz w:val="24"/>
          <w:szCs w:val="24"/>
        </w:rPr>
        <w:t>cholar)</w:t>
      </w:r>
    </w:p>
    <w:p w:rsidR="00C340F2" w:rsidRPr="00ED193D" w:rsidRDefault="005240FA">
      <w:pPr>
        <w:pStyle w:val="BodyText"/>
        <w:tabs>
          <w:tab w:val="left" w:pos="2259"/>
        </w:tabs>
        <w:spacing w:before="224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 xml:space="preserve"> 3. Vrije Universiteit Brussel, Belgium, 05.2017</w:t>
      </w:r>
      <w:r w:rsidR="00ED193D">
        <w:rPr>
          <w:rFonts w:ascii="Times New Roman" w:hAnsi="Times New Roman" w:cs="Times New Roman"/>
          <w:sz w:val="24"/>
          <w:szCs w:val="24"/>
        </w:rPr>
        <w:t>,</w:t>
      </w:r>
      <w:r w:rsidRPr="00ED193D">
        <w:rPr>
          <w:rFonts w:ascii="Times New Roman" w:hAnsi="Times New Roman" w:cs="Times New Roman"/>
          <w:sz w:val="24"/>
          <w:szCs w:val="24"/>
        </w:rPr>
        <w:t xml:space="preserve"> Visiting Researcher</w:t>
      </w:r>
    </w:p>
    <w:p w:rsidR="00C340F2" w:rsidRPr="00ED193D" w:rsidRDefault="00C340F2">
      <w:pPr>
        <w:pStyle w:val="BodyText"/>
        <w:tabs>
          <w:tab w:val="left" w:pos="2261"/>
        </w:tabs>
        <w:spacing w:before="227"/>
        <w:rPr>
          <w:rFonts w:ascii="Times New Roman" w:hAnsi="Times New Roman" w:cs="Times New Roman"/>
          <w:sz w:val="24"/>
          <w:szCs w:val="24"/>
        </w:rPr>
      </w:pPr>
    </w:p>
    <w:p w:rsidR="00C340F2" w:rsidRPr="00ED193D" w:rsidRDefault="005240FA">
      <w:pPr>
        <w:pStyle w:val="BodyText"/>
        <w:ind w:left="2259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>;</w:t>
      </w:r>
    </w:p>
    <w:p w:rsidR="00C340F2" w:rsidRPr="00ED193D" w:rsidRDefault="00C340F2">
      <w:pPr>
        <w:pStyle w:val="Body"/>
        <w:rPr>
          <w:rFonts w:ascii="Times New Roman" w:hAnsi="Times New Roman" w:cs="Times New Roman"/>
          <w:sz w:val="24"/>
          <w:szCs w:val="24"/>
        </w:rPr>
        <w:sectPr w:rsidR="00C340F2" w:rsidRPr="00ED193D">
          <w:headerReference w:type="default" r:id="rId7"/>
          <w:footerReference w:type="default" r:id="rId8"/>
          <w:pgSz w:w="11900" w:h="16840"/>
          <w:pgMar w:top="1600" w:right="1360" w:bottom="280" w:left="1340" w:header="720" w:footer="720" w:gutter="0"/>
          <w:cols w:space="720"/>
        </w:sectPr>
      </w:pPr>
    </w:p>
    <w:p w:rsidR="00C340F2" w:rsidRPr="00ED193D" w:rsidRDefault="005240FA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  <w:lang w:val="de-DE"/>
        </w:rPr>
        <w:lastRenderedPageBreak/>
        <w:t>SCIENTIFIC CONFERENCES</w:t>
      </w:r>
    </w:p>
    <w:p w:rsidR="00C340F2" w:rsidRPr="00ED193D" w:rsidRDefault="00C340F2">
      <w:pPr>
        <w:pStyle w:val="BodyText"/>
        <w:spacing w:before="7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56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3"/>
        <w:gridCol w:w="3087"/>
        <w:gridCol w:w="1436"/>
      </w:tblGrid>
      <w:tr w:rsidR="00C340F2" w:rsidRPr="00ED193D">
        <w:trPr>
          <w:trHeight w:val="250"/>
        </w:trPr>
        <w:tc>
          <w:tcPr>
            <w:tcW w:w="4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3" w:type="dxa"/>
              <w:bottom w:w="80" w:type="dxa"/>
              <w:right w:w="80" w:type="dxa"/>
            </w:tcMar>
          </w:tcPr>
          <w:p w:rsidR="00C340F2" w:rsidRPr="00ED193D" w:rsidRDefault="005240FA">
            <w:pPr>
              <w:pStyle w:val="TableParagraph"/>
              <w:spacing w:before="63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</w:t>
            </w:r>
          </w:p>
        </w:tc>
        <w:tc>
          <w:tcPr>
            <w:tcW w:w="3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C340F2" w:rsidRPr="00ED193D" w:rsidRDefault="005240FA">
            <w:pPr>
              <w:pStyle w:val="TableParagraph"/>
              <w:spacing w:before="6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Article</w:t>
            </w:r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2" w:type="dxa"/>
              <w:bottom w:w="80" w:type="dxa"/>
              <w:right w:w="80" w:type="dxa"/>
            </w:tcMar>
          </w:tcPr>
          <w:p w:rsidR="00C340F2" w:rsidRPr="00ED193D" w:rsidRDefault="005240FA">
            <w:pPr>
              <w:pStyle w:val="TableParagraph"/>
              <w:spacing w:before="62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/Year</w:t>
            </w:r>
          </w:p>
        </w:tc>
      </w:tr>
      <w:tr w:rsidR="00C340F2" w:rsidRPr="00ED193D">
        <w:trPr>
          <w:trHeight w:val="952"/>
        </w:trPr>
        <w:tc>
          <w:tcPr>
            <w:tcW w:w="4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553" w:type="dxa"/>
              <w:bottom w:w="80" w:type="dxa"/>
              <w:right w:w="575" w:type="dxa"/>
            </w:tcMar>
          </w:tcPr>
          <w:p w:rsidR="00C340F2" w:rsidRPr="00ED193D" w:rsidRDefault="005240FA">
            <w:pPr>
              <w:pStyle w:val="TableParagraph"/>
              <w:spacing w:before="64" w:line="228" w:lineRule="auto"/>
              <w:ind w:left="473" w:right="495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sz w:val="24"/>
                <w:szCs w:val="24"/>
              </w:rPr>
              <w:t>1.  4th International Conference “Social Changes in the Global World”</w:t>
            </w:r>
          </w:p>
        </w:tc>
        <w:tc>
          <w:tcPr>
            <w:tcW w:w="3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354" w:type="dxa"/>
            </w:tcMar>
          </w:tcPr>
          <w:p w:rsidR="00C340F2" w:rsidRPr="00ED193D" w:rsidRDefault="005240FA">
            <w:pPr>
              <w:widowControl w:val="0"/>
              <w:spacing w:before="64" w:line="228" w:lineRule="auto"/>
              <w:ind w:left="80" w:right="274"/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right to be forgotten in the digital age</w:t>
            </w:r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2" w:type="dxa"/>
              <w:bottom w:w="80" w:type="dxa"/>
              <w:right w:w="318" w:type="dxa"/>
            </w:tcMar>
          </w:tcPr>
          <w:p w:rsidR="00C340F2" w:rsidRPr="00ED193D" w:rsidRDefault="005240FA">
            <w:pPr>
              <w:widowControl w:val="0"/>
              <w:spacing w:before="64" w:line="228" w:lineRule="auto"/>
              <w:ind w:left="92" w:right="238"/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09.2017</w:t>
            </w:r>
          </w:p>
        </w:tc>
      </w:tr>
      <w:tr w:rsidR="00C340F2" w:rsidRPr="00ED193D">
        <w:trPr>
          <w:trHeight w:val="952"/>
        </w:trPr>
        <w:tc>
          <w:tcPr>
            <w:tcW w:w="4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553" w:type="dxa"/>
              <w:bottom w:w="80" w:type="dxa"/>
              <w:right w:w="80" w:type="dxa"/>
            </w:tcMar>
          </w:tcPr>
          <w:p w:rsidR="00C340F2" w:rsidRPr="00ED193D" w:rsidRDefault="005240FA">
            <w:pPr>
              <w:pStyle w:val="TableParagraph"/>
              <w:spacing w:before="61" w:line="228" w:lineRule="auto"/>
              <w:ind w:left="473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sz w:val="24"/>
                <w:szCs w:val="24"/>
              </w:rPr>
              <w:t>2.  Summer school on IP and ICT Law, Reichenau/ Rax, Austria</w:t>
            </w:r>
          </w:p>
        </w:tc>
        <w:tc>
          <w:tcPr>
            <w:tcW w:w="3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71" w:type="dxa"/>
            </w:tcMar>
          </w:tcPr>
          <w:p w:rsidR="00C340F2" w:rsidRPr="00ED193D" w:rsidRDefault="005240FA">
            <w:pPr>
              <w:widowControl w:val="0"/>
              <w:spacing w:before="61" w:line="228" w:lineRule="auto"/>
              <w:ind w:left="80" w:right="91"/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Case report on online databases</w:t>
            </w:r>
          </w:p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2" w:type="dxa"/>
              <w:bottom w:w="80" w:type="dxa"/>
              <w:right w:w="256" w:type="dxa"/>
            </w:tcMar>
          </w:tcPr>
          <w:p w:rsidR="00C340F2" w:rsidRPr="00ED193D" w:rsidRDefault="005240FA">
            <w:pPr>
              <w:widowControl w:val="0"/>
              <w:spacing w:before="61" w:line="228" w:lineRule="auto"/>
              <w:ind w:left="92" w:right="176"/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09.2016</w:t>
            </w:r>
          </w:p>
        </w:tc>
      </w:tr>
      <w:tr w:rsidR="00C340F2" w:rsidRPr="00ED193D">
        <w:trPr>
          <w:trHeight w:val="1192"/>
        </w:trPr>
        <w:tc>
          <w:tcPr>
            <w:tcW w:w="4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553" w:type="dxa"/>
              <w:bottom w:w="80" w:type="dxa"/>
              <w:right w:w="437" w:type="dxa"/>
            </w:tcMar>
          </w:tcPr>
          <w:p w:rsidR="00C340F2" w:rsidRPr="00ED193D" w:rsidRDefault="005240FA">
            <w:pPr>
              <w:pStyle w:val="TableParagraph"/>
              <w:spacing w:before="78" w:line="228" w:lineRule="auto"/>
              <w:ind w:left="473" w:right="357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color w:val="111111"/>
                <w:sz w:val="24"/>
                <w:szCs w:val="24"/>
                <w:u w:color="111111"/>
              </w:rPr>
              <w:t xml:space="preserve">3. </w:t>
            </w:r>
          </w:p>
        </w:tc>
        <w:tc>
          <w:tcPr>
            <w:tcW w:w="3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83" w:type="dxa"/>
            </w:tcMar>
          </w:tcPr>
          <w:p w:rsidR="00C340F2" w:rsidRPr="00ED193D" w:rsidRDefault="00C340F2"/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2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>
        <w:trPr>
          <w:trHeight w:val="1432"/>
        </w:trPr>
        <w:tc>
          <w:tcPr>
            <w:tcW w:w="4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553" w:type="dxa"/>
              <w:bottom w:w="80" w:type="dxa"/>
              <w:right w:w="80" w:type="dxa"/>
            </w:tcMar>
          </w:tcPr>
          <w:p w:rsidR="00C340F2" w:rsidRPr="00ED193D" w:rsidRDefault="005240FA">
            <w:pPr>
              <w:pStyle w:val="TableParagraph"/>
              <w:spacing w:before="75" w:line="228" w:lineRule="auto"/>
              <w:ind w:left="473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color w:val="111111"/>
                <w:sz w:val="24"/>
                <w:szCs w:val="24"/>
                <w:u w:color="111111"/>
              </w:rPr>
              <w:t xml:space="preserve">4. </w:t>
            </w:r>
          </w:p>
        </w:tc>
        <w:tc>
          <w:tcPr>
            <w:tcW w:w="3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46" w:type="dxa"/>
            </w:tcMar>
          </w:tcPr>
          <w:p w:rsidR="00C340F2" w:rsidRPr="00ED193D" w:rsidRDefault="00C340F2"/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2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>
        <w:trPr>
          <w:trHeight w:val="1432"/>
        </w:trPr>
        <w:tc>
          <w:tcPr>
            <w:tcW w:w="4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553" w:type="dxa"/>
              <w:bottom w:w="80" w:type="dxa"/>
              <w:right w:w="486" w:type="dxa"/>
            </w:tcMar>
          </w:tcPr>
          <w:p w:rsidR="00C340F2" w:rsidRPr="00ED193D" w:rsidRDefault="005240FA">
            <w:pPr>
              <w:pStyle w:val="TableParagraph"/>
              <w:spacing w:before="72" w:line="228" w:lineRule="auto"/>
              <w:ind w:left="473" w:right="406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color w:val="111111"/>
                <w:sz w:val="24"/>
                <w:szCs w:val="24"/>
                <w:u w:color="111111"/>
              </w:rPr>
              <w:t xml:space="preserve">5. </w:t>
            </w:r>
          </w:p>
        </w:tc>
        <w:tc>
          <w:tcPr>
            <w:tcW w:w="3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4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72" w:type="dxa"/>
              <w:bottom w:w="80" w:type="dxa"/>
              <w:right w:w="80" w:type="dxa"/>
            </w:tcMar>
          </w:tcPr>
          <w:p w:rsidR="00C340F2" w:rsidRPr="00ED193D" w:rsidRDefault="00C340F2"/>
        </w:tc>
      </w:tr>
    </w:tbl>
    <w:p w:rsidR="00C340F2" w:rsidRPr="00ED193D" w:rsidRDefault="00C340F2">
      <w:pPr>
        <w:pStyle w:val="BodyText"/>
        <w:spacing w:before="7" w:line="240" w:lineRule="auto"/>
        <w:ind w:left="106" w:hanging="106"/>
        <w:rPr>
          <w:rFonts w:ascii="Times New Roman" w:hAnsi="Times New Roman" w:cs="Times New Roman"/>
          <w:b/>
          <w:bCs/>
          <w:sz w:val="24"/>
          <w:szCs w:val="24"/>
        </w:rPr>
      </w:pPr>
    </w:p>
    <w:p w:rsidR="00C340F2" w:rsidRPr="00ED193D" w:rsidRDefault="00C340F2">
      <w:pPr>
        <w:pStyle w:val="Body"/>
        <w:spacing w:line="228" w:lineRule="auto"/>
        <w:rPr>
          <w:rFonts w:ascii="Times New Roman" w:hAnsi="Times New Roman" w:cs="Times New Roman"/>
          <w:sz w:val="24"/>
          <w:szCs w:val="24"/>
        </w:rPr>
        <w:sectPr w:rsidR="00C340F2" w:rsidRPr="00ED193D">
          <w:headerReference w:type="default" r:id="rId9"/>
          <w:pgSz w:w="11900" w:h="16840"/>
          <w:pgMar w:top="1360" w:right="1360" w:bottom="280" w:left="1340" w:header="720" w:footer="720" w:gutter="0"/>
          <w:cols w:space="720"/>
        </w:sectPr>
      </w:pPr>
    </w:p>
    <w:p w:rsidR="00C340F2" w:rsidRPr="00ED193D" w:rsidRDefault="005240FA">
      <w:pPr>
        <w:pStyle w:val="Body"/>
        <w:spacing w:before="73"/>
        <w:ind w:left="10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D193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PUBLICATIONS/ARTICLES</w:t>
      </w:r>
    </w:p>
    <w:p w:rsidR="00C340F2" w:rsidRPr="00ED193D" w:rsidRDefault="00C340F2">
      <w:pPr>
        <w:pStyle w:val="BodyText"/>
        <w:spacing w:before="7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9" w:type="dxa"/>
        <w:tblInd w:w="3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4181"/>
        <w:gridCol w:w="1773"/>
      </w:tblGrid>
      <w:tr w:rsidR="00C340F2" w:rsidRPr="00ED193D" w:rsidTr="00ED193D">
        <w:trPr>
          <w:trHeight w:val="250"/>
        </w:trPr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5240FA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Published /ISSN/ISBN</w:t>
            </w:r>
          </w:p>
        </w:tc>
        <w:tc>
          <w:tcPr>
            <w:tcW w:w="41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:rsidR="00C340F2" w:rsidRPr="00ED193D" w:rsidRDefault="005240FA">
            <w:pPr>
              <w:pStyle w:val="TableParagraph"/>
              <w:spacing w:before="63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title</w:t>
            </w:r>
          </w:p>
        </w:tc>
        <w:tc>
          <w:tcPr>
            <w:tcW w:w="1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:rsidR="00C340F2" w:rsidRPr="00ED193D" w:rsidRDefault="005240FA">
            <w:pPr>
              <w:pStyle w:val="TableParagraph"/>
              <w:spacing w:before="63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ED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Month/Year</w:t>
            </w:r>
          </w:p>
        </w:tc>
      </w:tr>
      <w:tr w:rsidR="00C340F2" w:rsidRPr="00ED193D" w:rsidTr="00ED193D">
        <w:trPr>
          <w:trHeight w:val="1851"/>
        </w:trPr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5240FA">
            <w:pPr>
              <w:widowControl w:val="0"/>
              <w:spacing w:before="69" w:line="209" w:lineRule="exact"/>
              <w:rPr>
                <w:rFonts w:eastAsia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Masaryk University Journal of Law and Technology</w:t>
            </w:r>
            <w:r w:rsidR="006824E3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indexed on Scopus</w:t>
            </w:r>
            <w:bookmarkStart w:id="0" w:name="_GoBack"/>
            <w:bookmarkEnd w:id="0"/>
          </w:p>
          <w:p w:rsidR="00C340F2" w:rsidRPr="00ED193D" w:rsidRDefault="00C340F2">
            <w:pPr>
              <w:widowControl w:val="0"/>
              <w:spacing w:before="69" w:line="209" w:lineRule="exact"/>
              <w:rPr>
                <w:rFonts w:eastAsia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340F2" w:rsidRPr="00ED193D" w:rsidRDefault="005240FA">
            <w:pPr>
              <w:pStyle w:val="Default"/>
              <w:spacing w:before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ED193D">
                <w:rPr>
                  <w:rStyle w:val="Hyperlink0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  <w:lang w:val="en-US"/>
                </w:rPr>
                <w:t>https://doi.org/10.5817/MUJLT2020-1-3</w:t>
              </w:r>
            </w:hyperlink>
            <w:r w:rsidRPr="00ED193D">
              <w:rPr>
                <w:rFonts w:ascii="Times New Roman" w:hAnsi="Times New Roman" w:cs="Times New Roman"/>
                <w:color w:val="000000" w:themeColor="text1"/>
                <w:u w:color="59449A"/>
                <w:shd w:val="clear" w:color="auto" w:fill="FFFFFF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5240FA">
            <w:pPr>
              <w:widowControl w:val="0"/>
              <w:spacing w:before="69" w:line="209" w:lineRule="exact"/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complexity of criminal liability of AI systems</w:t>
            </w:r>
          </w:p>
        </w:tc>
        <w:tc>
          <w:tcPr>
            <w:tcW w:w="177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5240FA">
            <w:pPr>
              <w:widowControl w:val="0"/>
              <w:spacing w:before="69" w:line="209" w:lineRule="exact"/>
              <w:ind w:left="78"/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</w:tr>
      <w:tr w:rsidR="00C340F2" w:rsidRPr="00ED193D" w:rsidTr="00ED193D">
        <w:trPr>
          <w:trHeight w:val="222"/>
        </w:trPr>
        <w:tc>
          <w:tcPr>
            <w:tcW w:w="28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222"/>
        </w:trPr>
        <w:tc>
          <w:tcPr>
            <w:tcW w:w="28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222"/>
        </w:trPr>
        <w:tc>
          <w:tcPr>
            <w:tcW w:w="28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235"/>
        </w:trPr>
        <w:tc>
          <w:tcPr>
            <w:tcW w:w="28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1093"/>
        </w:trPr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5240FA">
            <w:pPr>
              <w:widowControl w:val="0"/>
              <w:spacing w:before="65" w:line="225" w:lineRule="exact"/>
              <w:rPr>
                <w:rFonts w:eastAsia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Academicus International Scientific Journal</w:t>
            </w:r>
          </w:p>
          <w:p w:rsidR="00C340F2" w:rsidRPr="00ED193D" w:rsidRDefault="00C340F2">
            <w:pPr>
              <w:widowControl w:val="0"/>
              <w:spacing w:before="65" w:line="225" w:lineRule="exact"/>
              <w:rPr>
                <w:rFonts w:eastAsia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340F2" w:rsidRPr="00ED193D" w:rsidRDefault="005240FA">
            <w:pPr>
              <w:pStyle w:val="Default"/>
              <w:spacing w:before="0" w:line="240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  <w:color w:val="000000" w:themeColor="text1"/>
              </w:rPr>
              <w:t>ISSN 2079-3715</w:t>
            </w:r>
          </w:p>
        </w:tc>
        <w:tc>
          <w:tcPr>
            <w:tcW w:w="41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5240FA">
            <w:pPr>
              <w:widowControl w:val="0"/>
              <w:spacing w:before="65"/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Privacy and data protection: Legal aspects in the Republic of Macedonia</w:t>
            </w:r>
          </w:p>
        </w:tc>
        <w:tc>
          <w:tcPr>
            <w:tcW w:w="1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5240FA">
            <w:pPr>
              <w:widowControl w:val="0"/>
              <w:spacing w:before="65"/>
              <w:ind w:left="78"/>
            </w:pPr>
            <w:r w:rsidRPr="00ED193D">
              <w:rPr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2016</w:t>
            </w:r>
          </w:p>
        </w:tc>
      </w:tr>
      <w:tr w:rsidR="00C340F2" w:rsidRPr="00ED193D" w:rsidTr="00ED193D">
        <w:trPr>
          <w:trHeight w:val="211"/>
        </w:trPr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247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194"/>
        </w:trPr>
        <w:tc>
          <w:tcPr>
            <w:tcW w:w="28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194"/>
        </w:trPr>
        <w:tc>
          <w:tcPr>
            <w:tcW w:w="28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358"/>
        </w:trPr>
        <w:tc>
          <w:tcPr>
            <w:tcW w:w="28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653"/>
        </w:trPr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531"/>
        </w:trPr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487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220"/>
        </w:trPr>
        <w:tc>
          <w:tcPr>
            <w:tcW w:w="28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  <w:tr w:rsidR="00C340F2" w:rsidRPr="00ED193D" w:rsidTr="00ED193D">
        <w:trPr>
          <w:trHeight w:val="235"/>
        </w:trPr>
        <w:tc>
          <w:tcPr>
            <w:tcW w:w="28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58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418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  <w:tc>
          <w:tcPr>
            <w:tcW w:w="177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F2" w:rsidRPr="00ED193D" w:rsidRDefault="00C340F2"/>
        </w:tc>
      </w:tr>
    </w:tbl>
    <w:p w:rsidR="00C340F2" w:rsidRPr="00ED193D" w:rsidRDefault="00C340F2">
      <w:pPr>
        <w:pStyle w:val="BodyText"/>
        <w:spacing w:before="7" w:line="240" w:lineRule="auto"/>
        <w:ind w:left="242" w:hanging="242"/>
        <w:rPr>
          <w:rFonts w:ascii="Times New Roman" w:hAnsi="Times New Roman" w:cs="Times New Roman"/>
          <w:b/>
          <w:bCs/>
          <w:sz w:val="24"/>
          <w:szCs w:val="24"/>
        </w:rPr>
      </w:pPr>
    </w:p>
    <w:p w:rsidR="00C340F2" w:rsidRPr="00ED193D" w:rsidRDefault="00C340F2">
      <w:pPr>
        <w:pStyle w:val="BodyText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0F2" w:rsidRPr="00ED193D" w:rsidRDefault="00C340F2">
      <w:pPr>
        <w:pStyle w:val="BodyText"/>
        <w:spacing w:before="1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0F2" w:rsidRPr="00ED193D" w:rsidRDefault="005240FA">
      <w:pPr>
        <w:pStyle w:val="Body"/>
        <w:ind w:left="10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D193D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SKILLS AND COMPETENCIES</w:t>
      </w:r>
    </w:p>
    <w:p w:rsidR="00C340F2" w:rsidRPr="00ED193D" w:rsidRDefault="005240FA">
      <w:pPr>
        <w:pStyle w:val="Body"/>
        <w:spacing w:before="224"/>
        <w:ind w:left="10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D193D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Languages:</w:t>
      </w:r>
    </w:p>
    <w:p w:rsidR="00C340F2" w:rsidRPr="00ED193D" w:rsidRDefault="005240FA">
      <w:pPr>
        <w:pStyle w:val="BodyText"/>
        <w:tabs>
          <w:tab w:val="left" w:pos="2979"/>
        </w:tabs>
        <w:spacing w:before="225" w:line="240" w:lineRule="auto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>Native:</w:t>
      </w:r>
      <w:r w:rsidRPr="00ED193D">
        <w:rPr>
          <w:rFonts w:ascii="Times New Roman" w:hAnsi="Times New Roman" w:cs="Times New Roman"/>
          <w:sz w:val="24"/>
          <w:szCs w:val="24"/>
        </w:rPr>
        <w:tab/>
        <w:t>Albanian</w:t>
      </w:r>
    </w:p>
    <w:p w:rsidR="00C340F2" w:rsidRPr="00ED193D" w:rsidRDefault="005240FA">
      <w:pPr>
        <w:pStyle w:val="BodyText"/>
        <w:tabs>
          <w:tab w:val="left" w:pos="2979"/>
        </w:tabs>
        <w:spacing w:before="225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>Full professional</w:t>
      </w:r>
      <w:r w:rsidRPr="00ED193D">
        <w:rPr>
          <w:rFonts w:ascii="Times New Roman" w:hAnsi="Times New Roman" w:cs="Times New Roman"/>
          <w:sz w:val="24"/>
          <w:szCs w:val="24"/>
        </w:rPr>
        <w:tab/>
        <w:t>English</w:t>
      </w:r>
    </w:p>
    <w:p w:rsidR="00C340F2" w:rsidRPr="00ED193D" w:rsidRDefault="005240FA">
      <w:pPr>
        <w:pStyle w:val="BodyText"/>
        <w:tabs>
          <w:tab w:val="left" w:pos="2979"/>
        </w:tabs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sz w:val="24"/>
          <w:szCs w:val="24"/>
        </w:rPr>
        <w:t>proficiency:</w:t>
      </w:r>
      <w:r w:rsidRPr="00ED193D">
        <w:rPr>
          <w:rFonts w:ascii="Times New Roman" w:hAnsi="Times New Roman" w:cs="Times New Roman"/>
          <w:sz w:val="24"/>
          <w:szCs w:val="24"/>
        </w:rPr>
        <w:tab/>
      </w:r>
      <w:r w:rsidR="00ED193D">
        <w:rPr>
          <w:rFonts w:ascii="Times New Roman" w:hAnsi="Times New Roman" w:cs="Times New Roman"/>
          <w:sz w:val="24"/>
          <w:szCs w:val="24"/>
        </w:rPr>
        <w:t>Macedonian</w:t>
      </w:r>
    </w:p>
    <w:p w:rsidR="00C340F2" w:rsidRPr="00ED193D" w:rsidRDefault="00C340F2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40F2" w:rsidRPr="00ED193D" w:rsidRDefault="005240FA">
      <w:pPr>
        <w:pStyle w:val="Body"/>
        <w:tabs>
          <w:tab w:val="left" w:pos="2979"/>
        </w:tabs>
        <w:spacing w:before="162"/>
        <w:ind w:left="100"/>
        <w:rPr>
          <w:rFonts w:ascii="Times New Roman" w:hAnsi="Times New Roman" w:cs="Times New Roman"/>
          <w:sz w:val="24"/>
          <w:szCs w:val="24"/>
        </w:rPr>
      </w:pPr>
      <w:r w:rsidRPr="00ED193D">
        <w:rPr>
          <w:rFonts w:ascii="Times New Roman" w:hAnsi="Times New Roman" w:cs="Times New Roman"/>
          <w:b/>
          <w:bCs/>
          <w:sz w:val="24"/>
          <w:szCs w:val="24"/>
          <w:lang w:val="de-DE"/>
        </w:rPr>
        <w:t>Computer</w:t>
      </w:r>
      <w:r w:rsidRPr="00ED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93D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Skills:</w:t>
      </w:r>
      <w:r w:rsidRPr="00ED193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D193D">
        <w:rPr>
          <w:rFonts w:ascii="Times New Roman" w:hAnsi="Times New Roman" w:cs="Times New Roman"/>
          <w:sz w:val="24"/>
          <w:szCs w:val="24"/>
          <w:lang w:val="en-US"/>
        </w:rPr>
        <w:t xml:space="preserve">Word, </w:t>
      </w:r>
      <w:r w:rsidRPr="00ED193D">
        <w:rPr>
          <w:rFonts w:ascii="Times New Roman" w:hAnsi="Times New Roman" w:cs="Times New Roman"/>
          <w:sz w:val="24"/>
          <w:szCs w:val="24"/>
          <w:lang w:val="en-US"/>
        </w:rPr>
        <w:t>Excel, PowerPoint,</w:t>
      </w:r>
      <w:r w:rsidRPr="00ED1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93D">
        <w:rPr>
          <w:rFonts w:ascii="Times New Roman" w:hAnsi="Times New Roman" w:cs="Times New Roman"/>
          <w:sz w:val="24"/>
          <w:szCs w:val="24"/>
        </w:rPr>
        <w:t>etc.</w:t>
      </w:r>
    </w:p>
    <w:sectPr w:rsidR="00C340F2" w:rsidRPr="00ED193D">
      <w:headerReference w:type="default" r:id="rId11"/>
      <w:pgSz w:w="11900" w:h="16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FA" w:rsidRDefault="005240FA">
      <w:r>
        <w:separator/>
      </w:r>
    </w:p>
  </w:endnote>
  <w:endnote w:type="continuationSeparator" w:id="0">
    <w:p w:rsidR="005240FA" w:rsidRDefault="005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F2" w:rsidRDefault="00C340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FA" w:rsidRDefault="005240FA">
      <w:r>
        <w:separator/>
      </w:r>
    </w:p>
  </w:footnote>
  <w:footnote w:type="continuationSeparator" w:id="0">
    <w:p w:rsidR="005240FA" w:rsidRDefault="0052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F2" w:rsidRDefault="00C340F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F2" w:rsidRDefault="00C340F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F2" w:rsidRDefault="00C340F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F2"/>
    <w:rsid w:val="005240FA"/>
    <w:rsid w:val="006824E3"/>
    <w:rsid w:val="00C340F2"/>
    <w:rsid w:val="00E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1F92"/>
  <w15:docId w15:val="{EC51B859-8AE7-48B0-8538-85D0FAE7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line="248" w:lineRule="exact"/>
      <w:ind w:left="10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before="73"/>
      <w:ind w:left="100"/>
      <w:outlineLvl w:val="0"/>
    </w:pPr>
    <w:rPr>
      <w:rFonts w:ascii="Trebuchet MS" w:hAnsi="Trebuchet MS" w:cs="Arial Unicode MS"/>
      <w:b/>
      <w:bCs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ind w:left="78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a.osmani@universitetiaa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s://doi.org/10.5817/MUJLT2020-1-3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Bleron</cp:lastModifiedBy>
  <cp:revision>3</cp:revision>
  <dcterms:created xsi:type="dcterms:W3CDTF">2022-01-05T15:10:00Z</dcterms:created>
  <dcterms:modified xsi:type="dcterms:W3CDTF">2022-01-05T15:24:00Z</dcterms:modified>
</cp:coreProperties>
</file>